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hanging="0"/>
        <w:jc w:val="center"/>
        <w:rPr>
          <w:rFonts w:ascii="Times New Roman" w:hAnsi="Times New Roman" w:eastAsia="Times New Roman" w:cs="Times New Roman"/>
          <w:b/>
          <w:b/>
          <w:caps/>
          <w:sz w:val="22"/>
        </w:rPr>
      </w:pPr>
      <w:r>
        <w:rPr>
          <w:rFonts w:eastAsia="Times New Roman" w:cs="Times New Roman"/>
          <w:b/>
          <w:caps/>
          <w:sz w:val="22"/>
        </w:rPr>
        <w:t>Zarządzenie Nr 393.2023</w:t>
        <w:br/>
        <w:t>Burmistrza Łęknicy</w:t>
      </w:r>
    </w:p>
    <w:p>
      <w:pPr>
        <w:pStyle w:val="Normal"/>
        <w:spacing w:lineRule="auto" w:line="360" w:before="280" w:after="280"/>
        <w:ind w:left="0" w:hanging="0"/>
        <w:jc w:val="center"/>
        <w:rPr>
          <w:rFonts w:ascii="Times New Roman" w:hAnsi="Times New Roman" w:eastAsia="Times New Roman" w:cs="Times New Roman"/>
          <w:b/>
          <w:b/>
          <w:caps/>
          <w:sz w:val="22"/>
        </w:rPr>
      </w:pPr>
      <w:r>
        <w:rPr>
          <w:rFonts w:eastAsia="Times New Roman" w:cs="Times New Roman"/>
          <w:b w:val="false"/>
          <w:caps w:val="false"/>
          <w:smallCaps w:val="false"/>
          <w:sz w:val="22"/>
        </w:rPr>
        <w:t>z dnia 7 marca 2023 r.</w:t>
      </w:r>
    </w:p>
    <w:p>
      <w:pPr>
        <w:pStyle w:val="Normal"/>
        <w:keepNext w:val="true"/>
        <w:spacing w:lineRule="auto" w:line="36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/>
          <w:caps w:val="false"/>
          <w:smallCaps w:val="false"/>
          <w:sz w:val="22"/>
        </w:rPr>
        <w:t>w sprawie ogłoszenia otwartego konkursu ofert na realizację zadania publicznego w zakresie powierzenia realizacji zadań oraz działań dotyczących turystyki i krajoznawstwa w 2023 roku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</w:pPr>
      <w:r>
        <w:rPr>
          <w:rFonts w:eastAsia="Times New Roman" w:cs="Times New Roman"/>
          <w:b w:val="false"/>
          <w:caps w:val="false"/>
          <w:smallCaps w:val="false"/>
          <w:strike w:val="false"/>
          <w:dstrike w:val="false"/>
          <w:color w:val="auto"/>
          <w:sz w:val="22"/>
          <w:u w:val="none"/>
        </w:rPr>
        <w:t>Na podstawie art. 30 ust. 1 ustawy z dnia 8 marca 1990 r. o samorządzie gminnym (t.j. Dz. U. z 2023 r., poz. 40), art. 11 ust. 1 pkt 1, ust. 2 , art. 12 i art. 13 ustawy z dnia 24 kwietnia 2003 r. o działalności pożytku publicznego i o wolontariacie (tekst jednolity: Dz. U. z 2022 r., poz. 1327 z późn. zm.) w związku z uchwałą Nr XLVI.284.2022 z dnia 25 listopada 2022 r.  w sprawie przyjęcia Programu współpracy Gminy Łęknica z organizacjami pozarządowymi oraz innymi podmiotami prowadzącymi działalność pożytku publicznego na 2023 rok zarządzam, co następuje: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auto"/>
          <w:position w:val="0"/>
          <w:sz w:val="22"/>
          <w:sz w:val="22"/>
          <w:u w:val="none"/>
          <w:vertAlign w:val="baseline"/>
        </w:rPr>
        <w:t xml:space="preserve">Ogłaszam otwarty konkurs ofert na realizację zadania publicznego w zakresie powierzenia realizacji zadań oraz działań dotyczących turystyki i krajoznawstwa pn.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Prowadzenie Punktów Informacji Turystycznej w gminie Łęknica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2. </w:t>
      </w: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Zlecenie realizacji zadania publicznego nastąpi w formie powierzenia wykonywania zadania publicznego  wraz z udzieleniem dotacji na finansowanie jego realizacji.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Treść ogłoszenia stanowi załącznik do niniejszego zarządzenia.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Informację o ogłoszeniu konkursu publikuje się poprzez jej umieszczenie: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Biuletynie Informacji Publicznej Urzędu Miejskiego w Łęknicy,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na tablicy informacyjnej w siedzibie Urzędu Miejskiego w Łęknnicy,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na stronie internetowej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http://www.facebook.com/LeknicaCzyliMuzakow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4.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Wykonanie zarządzenia powierza się koordynatorowi ds. współpracy z organizacjami pozarządowymi.</w:t>
      </w:r>
    </w:p>
    <w:p>
      <w:pPr>
        <w:pStyle w:val="Normal"/>
        <w:keepNext w:val="tru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sz w:val="22"/>
        </w:rPr>
        <w:t>§ 5.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Zarządzenie wchodzi w życie z dniem podpisania.</w:t>
      </w:r>
    </w:p>
    <w:p>
      <w:pPr>
        <w:pStyle w:val="Normal"/>
        <w:keepNext w:val="tru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r>
    </w:p>
    <w:p>
      <w:pPr>
        <w:pStyle w:val="Normal"/>
        <w:keepNext w:val="true"/>
        <w:spacing w:before="0" w:after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b w:val="false"/>
          <w:i w:val="false"/>
          <w:color w:val="000000"/>
          <w:position w:val="0"/>
          <w:sz w:val="22"/>
          <w:u w:val="none"/>
          <w:vertAlign w:val="baseline"/>
        </w:rPr>
        <w:t> 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0"/>
        <w:gridCol w:w="9870"/>
      </w:tblGrid>
      <w:tr>
        <w:trPr/>
        <w:tc>
          <w:tcPr>
            <w:tcW w:w="9870" w:type="dxa"/>
            <w:tcBorders/>
          </w:tcPr>
          <w:p>
            <w:pPr>
              <w:pStyle w:val="Normal"/>
              <w:keepNext w:val="true"/>
              <w:keepLines/>
              <w:widowControl w:val="false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r>
          </w:p>
        </w:tc>
        <w:tc>
          <w:tcPr>
            <w:tcW w:w="9870" w:type="dxa"/>
            <w:tcBorders/>
          </w:tcPr>
          <w:p>
            <w:pPr>
              <w:pStyle w:val="Normal"/>
              <w:keepNext w:val="true"/>
              <w:keepLines/>
              <w:widowControl w:val="false"/>
              <w:spacing w:before="560" w:after="560"/>
              <w:ind w:left="1134" w:right="1134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z w:val="22"/>
                <w:szCs w:val="22"/>
              </w:rPr>
              <w:t>Burmistrz Łęknicy</w:t>
              <w:br/>
              <w:br/>
              <w:br/>
            </w:r>
            <w:r>
              <w:rPr>
                <w:b/>
                <w:i w:val="false"/>
              </w:rPr>
              <w:t>Piotr Kuliniak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020" w:right="1020" w:gutter="0" w:header="0" w:top="1417" w:footer="708" w:bottom="992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keepNext w:val="true"/>
        <w:spacing w:lineRule="auto" w:line="360" w:before="120" w:after="120"/>
        <w:ind w:left="5211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fldChar w:fldCharType="begin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</w:r>
      <w:r>
        <w:rPr>
          <w:sz w:val="22"/>
        </w:rPr>
      </w:r>
      <w:r>
        <w:rPr>
          <w:sz w:val="22"/>
        </w:rPr>
        <w:fldChar w:fldCharType="end"/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Załącznik Nr 1 do zarządzenia Nr 393.2023</w:t>
        <w:br/>
        <w:t>Burmistrza Łęknicy</w:t>
        <w:br/>
        <w:t>z dnia 7 marca 2023 r.</w:t>
      </w:r>
    </w:p>
    <w:p>
      <w:pPr>
        <w:pStyle w:val="Normal"/>
        <w:keepNext w:val="true"/>
        <w:spacing w:lineRule="auto" w:line="360" w:before="0" w:after="48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OGŁOSZENIE</w:t>
        <w:br/>
        <w:t>Burmistrz Łęknicy ogłasza otwarty konkurs ofert na realizację zadania publicznego w zakresie powierzenia realizacji zadań oraz działań dotyczących turystyki i krajoznawstwa w 2023 roku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Zlecenie realizacji zadania publicznego nastąpi w formie powierzenia wykonywania zadania publicznego wraz z udzieleniem dotacji na finansowanie jego realizacji.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Rodzaj zadania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Nazwa zadania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: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Prowadzenie Punktów Informacji Turystycznej w gminie Łęknica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Cel zadania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: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Zwiększenie zainteresowania walorami turystycznymi gminy Łęknica.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Udzielenie precyzyjnej informacji o walorach i atrakcjach Łęknicy, przyczyni się to do zwiększenia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ruchu turystycznego oraz promocji gminy.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Beneficjenci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: 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Turyści odwiedzający gminę Łęknica.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Wysokość środków publicznych przeznaczonych na realizację zadania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Maksymalna wysokość środków przeznaczonych na realizację zadania wynosi: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40.000 zł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(słownie: czterdzieści tysięcy złotych).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Zasady przyznawania dotacji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Postępowanie konkursowe będzie prowadzone zgodnie z Ustawą z dnia 24 kwietnia 2003 r. o działalności pożytku publicznego i o wolontariacie (t.j. Dz. U. z 2022 r., poz. 1327 z późn. zm.);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 przyznanie finansowania w ramach otwartego konkursu ofert mogą ubiegać się organizacje pozarządowe i podmioty, o których mowa w art. 3 ust. 3 ustawy z dnia 24 kwietnia 2003 roku o działalności pożytku publicznego i o wolontariacie (dalej jako oferenci) realizujące zadania statutowe z zakresu objętego konkursem;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Warunkiem ubiegania się o finansowanie realizacji zadania publicznego przez oferentów jest złożenie formularza ofertowego, zgodnego ze wzorem określonym w Rozporządzeniu Przewodniczącego Komitetu do spraw pożytku publicznego z dnia 24 października 2018 r. w sprawie wzorów ofert i ramowych wzorów umów dotyczących realizacji zadań publicznych oraz wzorów sprawozdań z wykonania tych zadań (Dz.U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 2018 r. poz 2057) – wymagane jest aby w złożonych ofertach wszystkie pozycje formularza zostały prawidłowo wypełnione zgodnie z informacjami zawartymi w poszczególnych rubrykach (w przypadku, gdy dana pozycja oferty nie odnosi się do podmiotu lub projektu należy wpisać np. „nie dotyczy”);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Do formularza oferty należy dołączyć: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Informację o miejscu prowadzenia Punktu Informacji Turystycznej, o którym mowa w pkt 5, ppkt. 1, lit. b,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Harmonogram obsługi z uwzględnieniem dni i godzin otwarcia Punktu Informacji Turystycznej, o którym mowa w pkt 5, ppkt. 1, lit. b;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Oferty, które nie spełnią wymogów formalnych, nie będą podlegać rozpatrzeniu pod względem merytorycznym;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przypadku, gdy suma wnioskowanych dotacji, wynikająca ze złożonych ofert, przekracza wysokość środków przeznaczonych na realizację zadania, organizator konkursu zastrzega sobie możliwość zmniejszenia wysokości wnioskowanego finansowania;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Łęknicy zastrzega sobie możliwość rozdysponowania powyższej kwoty na więcej niż jedną ofertę.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Termin realizacji zadania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Realizacja zadania przewidziana jest od dnia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1 kwietnia 2023 r.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 xml:space="preserve"> do dnia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31 grudnia 2023 r.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Warunki realizacji zadania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Oferent będzie udzielał informacji turystycznej w dwóch Punktach Informacji Turystycznej, przy czym: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a)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Łęknicy  udostępni nieodpłatnie oferentowi na potrzeby realizacji zadania pomieszczenie B2 w budynku przy ul. Tadeusza Kościuszki 18 w Łęknicy, przeznaczone na Punkt Informacji Turystycznej (punkt nr 1);</w:t>
      </w:r>
    </w:p>
    <w:p>
      <w:pPr>
        <w:pStyle w:val="Normal"/>
        <w:keepNext w:val="false"/>
        <w:keepLines/>
        <w:spacing w:lineRule="auto" w:line="240" w:before="120" w:after="120"/>
        <w:ind w:left="567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b)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Oferent powinien dysponować odpowiednim lokalem na prowadzenie Punktu Informacji Turystycznej położonym na terenie gminy Łęknica w innej lokalizacji niż wskazana w pkt 5, lit. a (punkt nr 2).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Burmistrz Łęknicy udostępni nieodpłatnie oferentowi pomieszczenie w B3 w budynku przy ul. Tadeusza Kościuszki 18 w Łęknicy, na potrzeby gromadzenia materiałów promocyjnych oraz miejsce spotkań roboczych osób realizujących zadanie publiczne.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Oferent uzgodni szczegółowe zasady dostępu do udostępnionych pomieszczeń z Kierownikiem Centrum Kulturalno-Edukacyjnego Światowego Geoparku UNESCO Łuk Mużakowa w Łęknicy.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Oferent będzie udzielał informacji turystycznej w Punkcie Informacji Turystycznej przy ul. Tadeusza Kościuszki 18, od 1 kwietnia do 31 października, jeden raz w miesiącu, w soboty i niedziele w godzinach  od 9:00 do 17:00 (jeden weekend).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5)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Oferent będzie współpracował merytorycznie z Kierownikiem Centrum Kulturalno-Edukacyjnego Światowego Geoparku UNESCO Łuk Mużakowa w Łęknicy przy tworzeniu ekspozycji Centrum związanych z walorami turystycznymi Łuku Mużakowa oraz przy organizacji konferencji związanych z tematyką Łuku Mużakowa.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Realizatorami zadania mogą być wytypowane przez oferenta osoby, mogące wykazać się wiedzą o atrakcjach turystycznych gminy Łęknica, posiadający odpowiednie certyfikaty.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Częstotliwość prowadzenia punktu wskazanego pkt 5, ppkt. 1, lit. b (punkt nr 2) powinna       obejmować również weekendy.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6. 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Termin i miejsce składania ofert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Formularze ofertowe wraz z załącznikami należy składać w nieprzekraczalnym terminie: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do dnia 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29 marca 2023 r. do godz. 14:30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 w Sekretariacie Urzędu Miejskiego w Łęknicy 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ul. Żurawska 1, 68-208 Łęknica.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Oferty, które wpłyną po terminie, nie będą rozpatrywane.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Oferty przesłane na drukach innych niż wskazane w pkt 3. ppkt 3) niniejszego ogłoszenia zostaną odrzucone z przyczyn formalnych.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Organizacje uczestniczące w konkursie zobowiązane są do podania adresu mailowego oraz numeru telefonu do osoby upoważnionej do składania wyjaśnień dotyczących oferty w celu skutecznego poinformowania o stwierdzonych brakach lub uchybieniach i oczywistych omyłkach.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7. 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Tryb i kryteria stosowane przy wyborze ofert oraz termin dokonania wyboru ofert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Złożone oferty podlegać będą ocenie formalnej zgodnie z kryteriami wskazanymi w KARCIE OCENY WYMOGÓW FORMALNYCH, której wzór stanowi załącznik nr 1 do niniejszego ogłoszenia.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Oceny merytorycznej dokona komisja konkursowa do opiniowania ofert.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 analizie złożonych ofert komisja konkursowa przedłoży rekomendacje co do wyboru ofert Burmistrzowi Łęknicy.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4. 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Wyboru ofert dokonuje się niezwłocznie, a wyniki otwartego konkursu ofert zostaną podane do wiadomości publicznej: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 Biuletynie Informacji Publicznej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na tablicy ogłoszeń Urzędu Miejskiego w Łęknicy,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na stronie internetowej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http://www.facebook.com/LeknicaCzyliMuzakow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</w:t>
      </w:r>
    </w:p>
    <w:p>
      <w:pPr>
        <w:pStyle w:val="Normal"/>
        <w:keepNext w:val="false"/>
        <w:keepLines w:val="false"/>
        <w:spacing w:lineRule="auto" w:line="240" w:before="120" w:after="120"/>
        <w:ind w:left="624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Przy wyborze ofert Komisja Konkursowa kierować się będzie następującymi kryteriami i punktacją: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1)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możliwość realizacji zadania publicznego przez podmioty uprawnione (posiadane zasoby);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2)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kalkulację kosztów realizacji zadania publicznego, w tym w odniesieniu do zakresu rzeczowego zadania i programu;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3)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jakość wykonania zadania i kwalifikacje osób, przy udziale, których podmioty uprawnione będą realizować zadanie publiczne (kompleksowy charakter, trafność form metod służących osiągnięciu celu, konkretność i adekwatność programu w odniesieniu do adresatów zadania, kwalifikacje personelu);</w:t>
      </w:r>
    </w:p>
    <w:p>
      <w:pPr>
        <w:pStyle w:val="Normal"/>
        <w:keepNext w:val="false"/>
        <w:keepLines w:val="false"/>
        <w:spacing w:lineRule="auto" w:line="240" w:before="120" w:after="120"/>
        <w:ind w:left="340" w:right="0" w:hanging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4) 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dotychczasową współpracę, biorąc pod uwagę rzetelność i terminowość oraz sposób rozliczenia otrzymanych na ten cel środków.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8. 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Informacja o zrealizowanych przez Gminę Łęknica w roku ogłoszenia otwartego konkursu ofert i w roku poprzednim zadaniach publicznych tego samego rodzaju i związanych z nimi kosztami, ze szczególnym uwzględnieniem wysokości dotacji przekazanych organizacjom pozarządowym i podmiotom uprawnionym: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Kwota dotacji w 2021 roku – 30.000 zł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Kwota dotacji w 2022 roku – 30.000 zł</w:t>
      </w:r>
    </w:p>
    <w:p>
      <w:pPr>
        <w:pStyle w:val="Normal"/>
        <w:keepNext w:val="false"/>
        <w:keepLines/>
        <w:spacing w:lineRule="auto" w:line="240" w:before="120" w:after="120"/>
        <w:ind w:left="0" w:right="0" w:firstLine="3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sz w:val="22"/>
        </w:rPr>
        <w:t>9. 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Informacje dodatkowe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Wzór oferty, umowy i sprawozdania z realizacji zadania publicznego oraz wszelkie informacje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dotyczące Konkursu dostępne są w Urzędzie Miejskim w Łęknicy ul. Żurawska 1, pok. 14.</w:t>
      </w:r>
    </w:p>
    <w:p>
      <w:p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Osoby uprawnione do kontaktów z organizacjami:</w:t>
      </w:r>
    </w:p>
    <w:p>
      <w:pPr>
        <w:sectPr>
          <w:footerReference w:type="default" r:id="rId3"/>
          <w:type w:val="nextPage"/>
          <w:pgSz w:w="11906" w:h="16838"/>
          <w:pgMar w:left="1020" w:right="1020" w:gutter="0" w:header="0" w:top="1417" w:footer="708" w:bottom="992"/>
          <w:pgNumType w:start="1" w:fmt="decimal"/>
          <w:formProt w:val="false"/>
          <w:textDirection w:val="lrTb"/>
          <w:docGrid w:type="default" w:linePitch="360" w:charSpace="0"/>
        </w:sectPr>
        <w:pStyle w:val="Normal"/>
        <w:keepNext w:val="false"/>
        <w:keepLines w:val="false"/>
        <w:spacing w:lineRule="auto" w:line="240" w:before="120" w:after="12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Anna Sztrajbel – tel. (68) 3624706 Referat Finansowy</w:t>
      </w:r>
    </w:p>
    <w:p>
      <w:pPr>
        <w:sectPr>
          <w:footerReference w:type="default" r:id="rId4"/>
          <w:type w:val="nextPage"/>
          <w:pgSz w:w="11906" w:h="16838"/>
          <w:pgMar w:left="1440" w:right="862" w:gutter="0" w:header="0" w:top="1440" w:footer="708" w:bottom="1440"/>
          <w:pgNumType w:start="1" w:fmt="decimal"/>
          <w:formProt w:val="false"/>
          <w:textDirection w:val="lrTb"/>
          <w:docGrid w:type="default" w:linePitch="100" w:charSpace="0"/>
        </w:sect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280" w:afterAutospacing="0" w:after="280"/>
        <w:ind w:left="0" w:right="0" w:hanging="0"/>
        <w:jc w:val="left"/>
        <w:rPr>
          <w:color w:val="000000"/>
          <w:szCs w:val="20"/>
          <w:u w:val="none" w:color="000000"/>
          <w:shd w:fill="FFFFFF" w:val="clear"/>
          <w:lang w:val="x-none" w:eastAsia="en-US" w:bidi="ar-SA"/>
        </w:rPr>
      </w:pPr>
      <w:r>
        <w:rPr>
          <w:color w:val="000000"/>
          <w:szCs w:val="20"/>
          <w:u w:val="none" w:color="000000"/>
          <w:shd w:fill="FFFFFF" w:val="clear"/>
        </w:rPr>
        <w:t>Załącznik nr 1</w:t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280" w:afterAutospacing="0" w:after="280"/>
        <w:ind w:left="0" w:right="0" w:hanging="0"/>
        <w:jc w:val="center"/>
        <w:rPr>
          <w:b/>
          <w:b/>
          <w:color w:val="000000"/>
          <w:szCs w:val="20"/>
          <w:shd w:fill="FFFFFF" w:val="clear"/>
          <w:lang w:val="x-none" w:eastAsia="en-US" w:bidi="ar-SA"/>
        </w:rPr>
      </w:pPr>
      <w:r>
        <w:rPr>
          <w:b/>
          <w:color w:val="000000"/>
          <w:szCs w:val="20"/>
          <w:u w:val="none" w:color="000000"/>
          <w:shd w:fill="FFFFFF" w:val="clear"/>
          <w:lang w:val="x-none" w:eastAsia="en-US" w:bidi="ar-SA"/>
        </w:rPr>
        <w:t>KARTA OCENY WYMOGÓW FORMALNYCH</w:t>
      </w:r>
    </w:p>
    <w:tbl>
      <w:tblPr>
        <w:tblStyle w:val="TableNormal"/>
        <w:tblW w:w="96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6749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b/>
                <w:b/>
                <w:color w:val="000000"/>
                <w:sz w:val="24"/>
                <w:szCs w:val="20"/>
                <w:shd w:fill="FFFFFF" w:val="clear"/>
                <w:lang w:val="x-none" w:eastAsia="en-US" w:bidi="ar-SA"/>
              </w:rPr>
            </w:pPr>
            <w:r>
              <w:rPr>
                <w:b/>
                <w:color w:val="000000"/>
                <w:kern w:val="0"/>
                <w:sz w:val="24"/>
                <w:szCs w:val="20"/>
                <w:shd w:fill="FFFFFF" w:val="clear"/>
                <w:lang w:val="x-none" w:eastAsia="en-US" w:bidi="ar-SA"/>
              </w:rPr>
              <w:t>Adnotacje urzędowe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  <w:tr>
        <w:trPr/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1. Data złożenia oferty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  <w:tr>
        <w:trPr/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2. Nazwa zadania publicznego wskazana w ogłoszeniu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  <w:tr>
        <w:trPr/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3. Nazwa i adres oferenta</w:t>
            </w:r>
          </w:p>
        </w:tc>
        <w:tc>
          <w:tcPr>
            <w:tcW w:w="6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left"/>
        <w:rPr>
          <w:color w:val="000000"/>
          <w:szCs w:val="20"/>
          <w:shd w:fill="FFFFFF" w:val="clear"/>
          <w:lang w:val="x-none" w:eastAsia="en-US" w:bidi="ar-SA"/>
        </w:rPr>
      </w:pPr>
      <w:r>
        <w:rPr>
          <w:color w:val="000000"/>
          <w:szCs w:val="20"/>
          <w:shd w:fill="FFFFFF" w:val="clear"/>
          <w:lang w:val="x-none" w:eastAsia="en-US" w:bidi="ar-SA"/>
        </w:rPr>
      </w:r>
    </w:p>
    <w:tbl>
      <w:tblPr>
        <w:tblStyle w:val="TableNormal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5"/>
        <w:gridCol w:w="1304"/>
      </w:tblGrid>
      <w:tr>
        <w:trPr/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b/>
                <w:color w:val="000000"/>
                <w:kern w:val="0"/>
                <w:sz w:val="24"/>
                <w:szCs w:val="20"/>
                <w:shd w:fill="FFFFFF" w:val="clear"/>
                <w:lang w:val="x-none" w:eastAsia="en-US" w:bidi="ar-SA"/>
              </w:rPr>
              <w:t>PRAWIDŁOWOŚĆ OFERTY POD WZGLĘDEM FORMALNYM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b/>
                <w:color w:val="000000"/>
                <w:kern w:val="0"/>
                <w:sz w:val="24"/>
                <w:szCs w:val="20"/>
                <w:shd w:fill="FFFFFF" w:val="clear"/>
                <w:lang w:val="x-none" w:eastAsia="en-US" w:bidi="ar-SA"/>
              </w:rPr>
              <w:t>TAK/NIE</w:t>
            </w:r>
          </w:p>
        </w:tc>
      </w:tr>
      <w:tr>
        <w:trPr/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1. Oferta została złożona w terminie i miejscu określonym w ogłoszeniu konkursowym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  <w:tr>
        <w:trPr/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 xml:space="preserve">2. Oferent jest organizacją pozarządową lub innym podmiotem, o którym mowa w  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art.</w:t>
            </w: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 xml:space="preserve">3 ust. 3 ustawy z dnia 24 kwietnia 2003r. o działalności pożytku publicznego i o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wolontariacie.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  <w:tr>
        <w:trPr/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3. Oferta złożona na druku zgodnym z ogłoszeniem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  <w:tr>
        <w:trPr/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 xml:space="preserve">4. W oświadczeniu znajdującym się na końcu formularza ofertowego dokonane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zostały skreślenia umożliwiające jednoznaczne odczytanie deklaracji oferenta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  <w:tr>
        <w:trPr/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 xml:space="preserve">5. Oferta i oświadczenie oferenta podpisane zostały przez osoby uprawnione do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 xml:space="preserve">składania oświadczeń woli w imieniu oferenta zgodnie z aktualnym odpisem z KRS,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innego rejestru lub ewidencji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  <w:tr>
        <w:trPr/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 xml:space="preserve">6. Do oferty załączone zostały wszystkie załączniki wskazane w ogłoszeniu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>konkursowym jako obowiązkowe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left"/>
        <w:rPr>
          <w:color w:val="000000"/>
          <w:szCs w:val="20"/>
          <w:shd w:fill="FFFFFF" w:val="clear"/>
          <w:lang w:val="x-none" w:eastAsia="en-US" w:bidi="ar-SA"/>
        </w:rPr>
      </w:pPr>
      <w:r>
        <w:rPr>
          <w:color w:val="000000"/>
          <w:szCs w:val="20"/>
          <w:shd w:fill="FFFFFF" w:val="clear"/>
          <w:lang w:val="x-none" w:eastAsia="en-US" w:bidi="ar-SA"/>
        </w:rPr>
      </w:r>
    </w:p>
    <w:tbl>
      <w:tblPr>
        <w:tblStyle w:val="TableNormal"/>
        <w:tblW w:w="966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0"/>
      </w:tblGrid>
      <w:tr>
        <w:trPr/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b/>
                <w:b/>
                <w:color w:val="000000"/>
                <w:sz w:val="24"/>
                <w:szCs w:val="20"/>
                <w:shd w:fill="FFFFFF" w:val="clear"/>
                <w:lang w:val="x-none" w:eastAsia="en-US" w:bidi="ar-SA"/>
              </w:rPr>
            </w:pPr>
            <w:r>
              <w:rPr>
                <w:b/>
                <w:color w:val="000000"/>
                <w:kern w:val="0"/>
                <w:sz w:val="24"/>
                <w:szCs w:val="20"/>
                <w:shd w:fill="FFFFFF" w:val="clear"/>
                <w:lang w:val="x-none" w:eastAsia="en-US" w:bidi="ar-SA"/>
              </w:rPr>
              <w:t>Uwagi dotyczące oceny formalnej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center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  <w:tr>
        <w:trPr/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x-none" w:eastAsia="en-US" w:bidi="ar-SA"/>
              </w:rPr>
              <w:t xml:space="preserve">Oferta spełnia wymogi formalne i podlega ocenie merytorycznej / oferta nie spełnia wymogów formalnych i nie podlega ocenie merytorycznej 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b/>
                <w:b/>
                <w:color w:val="000000"/>
                <w:sz w:val="20"/>
                <w:szCs w:val="20"/>
                <w:shd w:fill="FFFFFF" w:val="clear"/>
                <w:lang w:val="x-none" w:eastAsia="en-US" w:bidi="ar-SA"/>
              </w:rPr>
            </w:pPr>
            <w:r>
              <w:rPr>
                <w:b/>
                <w:color w:val="000000"/>
                <w:kern w:val="0"/>
                <w:sz w:val="16"/>
                <w:szCs w:val="20"/>
                <w:shd w:fill="FFFFFF" w:val="clear"/>
                <w:lang w:val="x-none" w:eastAsia="en-US" w:bidi="ar-SA"/>
              </w:rPr>
              <w:t>(niepotrzebne skreślić)*</w:t>
            </w:r>
          </w:p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spacing w:lineRule="auto" w:line="240" w:beforeAutospacing="0" w:before="0" w:afterAutospacing="0" w:after="0"/>
              <w:ind w:left="0" w:right="0" w:hanging="0"/>
              <w:jc w:val="left"/>
              <w:rPr>
                <w:color w:val="000000"/>
                <w:szCs w:val="20"/>
                <w:shd w:fill="FFFFFF" w:val="clear"/>
                <w:lang w:val="x-none" w:eastAsia="en-US" w:bidi="ar-SA"/>
              </w:rPr>
            </w:pPr>
            <w:r>
              <w:rPr>
                <w:color w:val="000000"/>
                <w:kern w:val="0"/>
                <w:sz w:val="20"/>
                <w:szCs w:val="20"/>
                <w:shd w:fill="FFFFFF" w:val="clear"/>
                <w:lang w:val="pl-PL" w:eastAsia="pl-PL" w:bidi="pl-PL"/>
              </w:rPr>
            </w:r>
          </w:p>
        </w:tc>
      </w:tr>
    </w:tbl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left"/>
        <w:rPr>
          <w:color w:val="000000"/>
          <w:szCs w:val="20"/>
          <w:shd w:fill="FFFFFF" w:val="clear"/>
          <w:lang w:val="x-none" w:eastAsia="en-US" w:bidi="ar-SA"/>
        </w:rPr>
      </w:pPr>
      <w:r>
        <w:rPr>
          <w:color w:val="000000"/>
          <w:szCs w:val="20"/>
          <w:shd w:fill="FFFFFF" w:val="clear"/>
          <w:lang w:val="x-none" w:eastAsia="en-US" w:bidi="ar-SA"/>
        </w:rPr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left"/>
        <w:rPr>
          <w:color w:val="000000"/>
          <w:szCs w:val="20"/>
          <w:shd w:fill="FFFFFF" w:val="clear"/>
          <w:lang w:val="x-none" w:eastAsia="en-US" w:bidi="ar-SA"/>
        </w:rPr>
      </w:pPr>
      <w:r>
        <w:rPr>
          <w:color w:val="000000"/>
          <w:szCs w:val="20"/>
          <w:shd w:fill="FFFFFF" w:val="clear"/>
          <w:lang w:val="x-none" w:eastAsia="en-US" w:bidi="ar-SA"/>
        </w:rPr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left"/>
        <w:rPr>
          <w:color w:val="000000"/>
          <w:szCs w:val="20"/>
          <w:shd w:fill="FFFFFF" w:val="clear"/>
          <w:lang w:val="x-none" w:eastAsia="en-US" w:bidi="ar-SA"/>
        </w:rPr>
      </w:pPr>
      <w:r>
        <w:rPr>
          <w:color w:val="000000"/>
          <w:szCs w:val="20"/>
          <w:shd w:fill="FFFFFF" w:val="clear"/>
          <w:lang w:val="x-none" w:eastAsia="en-US" w:bidi="ar-SA"/>
        </w:rPr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left"/>
        <w:rPr>
          <w:color w:val="000000"/>
          <w:szCs w:val="20"/>
          <w:shd w:fill="FFFFFF" w:val="clear"/>
          <w:lang w:val="x-none" w:eastAsia="en-US" w:bidi="ar-SA"/>
        </w:rPr>
      </w:pPr>
      <w:r>
        <w:rPr>
          <w:color w:val="000000"/>
          <w:szCs w:val="20"/>
          <w:shd w:fill="FFFFFF" w:val="clear"/>
          <w:lang w:val="x-none" w:eastAsia="en-US" w:bidi="ar-SA"/>
        </w:rPr>
      </w:r>
    </w:p>
    <w:p>
      <w:pPr>
        <w:pStyle w:val="Normal"/>
        <w:keepNext w:val="false"/>
        <w:keepLines w:val="false"/>
        <w:widowControl/>
        <w:shd w:val="clear" w:color="auto" w:fill="auto"/>
        <w:suppressAutoHyphens w:val="false"/>
        <w:spacing w:lineRule="auto" w:line="240" w:beforeAutospacing="0" w:before="0" w:afterAutospacing="0" w:after="0"/>
        <w:ind w:left="0" w:right="0" w:hanging="0"/>
        <w:jc w:val="left"/>
        <w:rPr>
          <w:color w:val="000000"/>
          <w:szCs w:val="20"/>
          <w:shd w:fill="FFFFFF" w:val="clear"/>
          <w:lang w:val="x-none" w:eastAsia="en-US" w:bidi="ar-SA"/>
        </w:rPr>
      </w:pPr>
      <w:r>
        <w:fldChar w:fldCharType="begin"/>
      </w:r>
      <w:r>
        <w:rPr/>
      </w:r>
      <w:r>
        <w:rPr/>
      </w:r>
      <w:r>
        <w:rPr/>
        <w:fldChar w:fldCharType="separate"/>
      </w:r>
      <w:r>
        <w:rPr/>
      </w:r>
      <w:r>
        <w:rPr/>
      </w:r>
      <w:r>
        <w:rPr/>
        <w:fldChar w:fldCharType="end"/>
      </w:r>
    </w:p>
    <w:sectPr>
      <w:footerReference w:type="default" r:id="rId5"/>
      <w:type w:val="nextPage"/>
      <w:pgSz w:w="11906" w:h="16838"/>
      <w:pgMar w:left="1020" w:right="1020" w:gutter="0" w:header="0" w:top="1417" w:footer="708" w:bottom="992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/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95830B92-2B0E-47B5-9C34-DCAE2D927260. Ogłoszony</w:t>
          </w:r>
        </w:p>
      </w:tc>
      <w:tc>
        <w:tcPr>
          <w:tcW w:w="3289" w:type="dxa"/>
          <w:tcBorders/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/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95830B92-2B0E-47B5-9C34-DCAE2D927260. Ogłoszony</w:t>
          </w:r>
        </w:p>
      </w:tc>
      <w:tc>
        <w:tcPr>
          <w:tcW w:w="3289" w:type="dxa"/>
          <w:tcBorders/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/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95830B92-2B0E-47B5-9C34-DCAE2D927260. Ogłoszony</w:t>
          </w:r>
        </w:p>
      </w:tc>
      <w:tc>
        <w:tcPr>
          <w:tcW w:w="3289" w:type="dxa"/>
          <w:tcBorders/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-108" w:type="dxa"/>
      <w:tblLayout w:type="fixed"/>
      <w:tblCellMar>
        <w:top w:w="100" w:type="dxa"/>
        <w:left w:w="0" w:type="dxa"/>
        <w:bottom w:w="0" w:type="dxa"/>
        <w:right w:w="0" w:type="dxa"/>
      </w:tblCellMar>
    </w:tblPr>
    <w:tblGrid>
      <w:gridCol w:w="6576"/>
      <w:gridCol w:w="3289"/>
    </w:tblGrid>
    <w:tr>
      <w:trPr/>
      <w:tc>
        <w:tcPr>
          <w:tcW w:w="6576" w:type="dxa"/>
          <w:tcBorders/>
        </w:tcPr>
        <w:p>
          <w:pPr>
            <w:pStyle w:val="Normal"/>
            <w:widowControl w:val="false"/>
            <w:jc w:val="lef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  <w:t>Id: 95830B92-2B0E-47B5-9C34-DCAE2D927260. Ogłoszony</w:t>
          </w:r>
        </w:p>
      </w:tc>
      <w:tc>
        <w:tcPr>
          <w:tcW w:w="3289" w:type="dxa"/>
          <w:tcBorders/>
        </w:tcPr>
        <w:p>
          <w:pPr>
            <w:pStyle w:val="Normal"/>
            <w:widowControl w:val="false"/>
            <w:jc w:val="right"/>
            <w:rPr>
              <w:rFonts w:ascii="Times New Roman" w:hAnsi="Times New Roman" w:eastAsia="Times New Roman" w:cs="Times New Roman"/>
              <w:b w:val="false"/>
              <w:b w:val="false"/>
              <w:sz w:val="18"/>
            </w:rPr>
          </w:pPr>
          <w:r>
            <w:rPr>
              <w:rFonts w:eastAsia="Times New Roman" w:cs="Times New Roman"/>
              <w:b w:val="false"/>
              <w:sz w:val="18"/>
            </w:rPr>
          </w:r>
        </w:p>
      </w:tc>
    </w:tr>
  </w:tbl>
  <w:p>
    <w:pPr>
      <w:pStyle w:val="Normal"/>
      <w:rPr>
        <w:rFonts w:ascii="Times New Roman" w:hAnsi="Times New Roman" w:eastAsia="Times New Roman" w:cs="Times New Roman"/>
        <w:b w:val="false"/>
        <w:b w:val="false"/>
        <w:sz w:val="18"/>
      </w:rPr>
    </w:pPr>
    <w:r>
      <w:rPr>
        <w:rFonts w:eastAsia="Times New Roman" w:cs="Times New Roman"/>
        <w:b w:val="false"/>
        <w:sz w:val="18"/>
      </w:rPr>
    </w:r>
  </w:p>
</w:ftr>
</file>

<file path=word/settings.xml><?xml version="1.0" encoding="utf-8"?>
<w:settings xmlns:w="http://schemas.openxmlformats.org/wordprocessingml/2006/main">
  <w:view w:val="web"/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pl-PL" w:bidi="pl-PL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Application>LibreOffice/7.2.6.2$Windows_X86_64 LibreOffice_project/b0ec3a565991f7569a5a7f5d24fed7f52653d754</Application>
  <AppVersion>15.0000</AppVersion>
  <Pages>1</Pages>
  <Words>1471</Words>
  <Characters>9308</Characters>
  <CharactersWithSpaces>10698</CharactersWithSpaces>
  <Paragraphs>107</Paragraphs>
  <Company>Burmistrz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Akt prawny</cp:category>
  <dcterms:created xsi:type="dcterms:W3CDTF">2023-03-07T10:27:11Z</dcterms:created>
  <dc:creator>a.sztrajbel</dc:creator>
  <dc:description/>
  <dc:language>pl-PL</dc:language>
  <cp:lastModifiedBy>a.sztrajbel</cp:lastModifiedBy>
  <dcterms:modified xsi:type="dcterms:W3CDTF">2023-03-07T10:27:11Z</dcterms:modified>
  <cp:revision>1</cp:revision>
  <dc:subject>w sprawie ogłoszenia otwartego konkursu ofert na realizację zadania publicznego w^zakresie powierzenia realizacji zadań oraz działań dotyczących turystyki i^krajoznawstwa w^2023^roku</dc:subject>
  <dc:title>Zarządzenie Nr 393.2023 z dnia 7 marca 2023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